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Broj: 04-</w:t>
      </w:r>
      <w:r w:rsidR="00AF6931">
        <w:rPr>
          <w:rFonts w:ascii="Times New Roman" w:hAnsi="Times New Roman" w:cs="Times New Roman"/>
          <w:color w:val="000000"/>
          <w:sz w:val="24"/>
          <w:szCs w:val="24"/>
          <w:lang w:val="it-IT"/>
        </w:rPr>
        <w:t>460/18-896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Bar, 17.04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07F44">
        <w:rPr>
          <w:rFonts w:ascii="Times New Roman" w:hAnsi="Times New Roman" w:cs="Times New Roman"/>
          <w:sz w:val="24"/>
          <w:szCs w:val="24"/>
          <w:lang w:val="da-DK"/>
        </w:rPr>
        <w:t>radovi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D21D76" w:rsidRDefault="00D21D76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1D76">
        <w:rPr>
          <w:rFonts w:ascii="Times New Roman" w:hAnsi="Times New Roman" w:cs="Times New Roman"/>
          <w:sz w:val="24"/>
          <w:szCs w:val="24"/>
        </w:rPr>
        <w:t>opločavanje trotoara i parkinga betonskim pločama na području grada Bara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6436" w:rsidRPr="00C83766" w:rsidRDefault="00536436" w:rsidP="00536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D21D76">
        <w:rPr>
          <w:rFonts w:ascii="Times New Roman" w:hAnsi="Times New Roman" w:cs="Times New Roman"/>
          <w:color w:val="000000"/>
          <w:sz w:val="24"/>
          <w:szCs w:val="24"/>
          <w:lang w:val="pl-PL"/>
        </w:rPr>
        <w:t>29.500</w:t>
      </w:r>
      <w:r w:rsidR="00B36EA2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42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6073"/>
        <w:gridCol w:w="1268"/>
        <w:gridCol w:w="1276"/>
      </w:tblGrid>
      <w:tr w:rsidR="00E83D12" w:rsidRPr="00B20CF5" w:rsidTr="00680F6C">
        <w:trPr>
          <w:trHeight w:val="105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lastRenderedPageBreak/>
              <w:t>Redni broj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MAKEDONSKA ULICA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Podizanje postojećih betonskih ploča. Neoštećene ploče odvojiti na stranu i očistiti radi ponovne ugradnje, a oštećene utovariti i odvesti na deponiju do 5km po izboru investitora što se posebno obračunava. Obračun po m² podignutih ploča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682</w:t>
            </w:r>
          </w:p>
        </w:tc>
      </w:tr>
      <w:tr w:rsidR="00E83D12" w:rsidRPr="00B20CF5" w:rsidTr="00680F6C">
        <w:trPr>
          <w:trHeight w:val="690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Rušenje postojećih, izvaljenih i potonulih, betonskih ivičnjaka sa odvozom šuta. Obračun po m' ivičnjaka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Ivičnjak dimenzije 12x18x100cm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  <w:p w:rsidR="00E83D12" w:rsidRPr="00B20CF5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3D12" w:rsidRPr="00B20CF5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</w:tr>
      <w:tr w:rsidR="00E83D12" w:rsidRPr="00B20CF5" w:rsidTr="00680F6C">
        <w:trPr>
          <w:trHeight w:val="322"/>
        </w:trPr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Ivičnjak dimenzije 18x24x80 cm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Nabavka i ugradnja tampon sloja kamenog agregata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d=0-10cm Obračun po m³ ugrađenog tampon sloja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15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Nabavka kamenog agregata krupnoće 4-8mm za dosipanje ispod betonskih ploča Obračun po m³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0C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Isporuka i ugradnja vibropresovanih betonskih ploča, model “K1 Behaton” d=6cm, hrapava obrada, siva. Ploče se polažu preko postojećeg sloja kamenog agregata. Završnu površinu prepeglati vibropločom i zabrisati sitnim peskom.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170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Ugradnja postojećih betonskih ploča. Ploče se polažu preko postojećeg sloja kamenog agregata. Završnu površinu prepeglati vibropločom i zabrisati sitnim peskom.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510</w:t>
            </w:r>
          </w:p>
        </w:tc>
      </w:tr>
      <w:tr w:rsidR="00E83D12" w:rsidRPr="00B20CF5" w:rsidTr="00680F6C">
        <w:trPr>
          <w:trHeight w:val="97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 xml:space="preserve">Isporuka i ugradnja vibropresovanih betonskih ivičnjaka u sloju betona MB30 sa fugovanjem spojnica cementnim malterom Obračun po m' ivičnjaka 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</w:rPr>
              <w:t>Ivičnjak dimenzije 12x18x100 cm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85</w:t>
            </w:r>
          </w:p>
        </w:tc>
      </w:tr>
      <w:tr w:rsidR="00E83D12" w:rsidRPr="00B20CF5" w:rsidTr="00680F6C">
        <w:trPr>
          <w:trHeight w:val="275"/>
        </w:trPr>
        <w:tc>
          <w:tcPr>
            <w:tcW w:w="8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Ivičnjak dimenzije 18x24x80 cm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10</w:t>
            </w:r>
          </w:p>
        </w:tc>
      </w:tr>
      <w:tr w:rsidR="00E83D12" w:rsidRPr="00B20CF5" w:rsidTr="00680F6C">
        <w:trPr>
          <w:trHeight w:val="102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 xml:space="preserve">Ugradnja postojećih betonskih ivičnjaka u sloju betona MB30 sa fugovanjem spojnica cementnim malterom. Obračun po m' ivičnjaka </w:t>
            </w:r>
          </w:p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CF5">
              <w:rPr>
                <w:rFonts w:ascii="Times New Roman" w:hAnsi="Times New Roman" w:cs="Times New Roman"/>
                <w:color w:val="000000"/>
                <w:lang w:val="en-GB"/>
              </w:rPr>
              <w:t>Ivičnjak dimenzije 12x18x100cm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96</w:t>
            </w:r>
          </w:p>
        </w:tc>
      </w:tr>
      <w:tr w:rsidR="00E83D12" w:rsidRPr="00B20CF5" w:rsidTr="00680F6C">
        <w:trPr>
          <w:trHeight w:val="230"/>
        </w:trPr>
        <w:tc>
          <w:tcPr>
            <w:tcW w:w="8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2F31C3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Ivičnjak dimenzije 18x24x80 cm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Utovar i odvoz šuta do 5km na deponiju koju odredi investitor.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20C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13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Podizanje postojećih šaht poklopaca na visinu ploča. Obračun po komadu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Iskop i dorada postojećeg tampon sloja kamenog agaregata.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30</w:t>
            </w:r>
          </w:p>
        </w:tc>
      </w:tr>
      <w:tr w:rsidR="00F102E6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2E6" w:rsidRPr="00F102E6" w:rsidRDefault="00F102E6" w:rsidP="00F102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E6" w:rsidRPr="00F102E6" w:rsidRDefault="00F102E6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UKUPNO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02E6" w:rsidRPr="00B20CF5" w:rsidRDefault="00F102E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02E6" w:rsidRDefault="00F102E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U BORSKOJ ULICI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F31C3">
              <w:rPr>
                <w:rFonts w:ascii="Times New Roman" w:hAnsi="Times New Roman" w:cs="Times New Roman"/>
                <w:color w:val="000000"/>
                <w:lang w:val="en-GB"/>
              </w:rPr>
              <w:t>Iskop postojećeg kamenog agregata d=12cm i odvoz na deponiju do 5km po izboru investitora. Nakon iskopa izvršiti nabijanje posteljice vibropločom.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130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ploča, model “K80 Raster” dim. 60X40x8 cm. Ploče se polažu preko sloja kamenog agregata d=3-5cm. Otvore u pločama popuniti kamenim agregatom 4-8mm.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115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ploča, model “K1 Behaton” glatka obrada, crvena - podele između parkinga. Ploče se </w:t>
            </w:r>
            <w:r w:rsidRPr="00B20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polažu preko sloja kamenog agregata d=3-5cm.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lastRenderedPageBreak/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7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Rušenje postojećih betonskih ivičnjaka dimenzije 18x12cm sa odvozom šuta na deponiju do 5km koju odredi investitor. Obračun po m' ivičnjaka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Isporuka i ugradnja vibropresovanih betonskih ivičnjaka dimenzije 18x12x100cm u sloju betona MB30 sa fugovanjem spojnica cementnim malterom. Ivičnjaci se ugrađuju samo na delu novih Raster ploča. Obračun po m' ivičnjaka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kamenog agregata krupnoće 4-8mm za ispod betonskih ploča i popunjavanje otvora u pločama.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</w:t>
            </w:r>
            <w:r w:rsidRPr="002924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10</w:t>
            </w:r>
          </w:p>
        </w:tc>
      </w:tr>
      <w:tr w:rsidR="00D47546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546" w:rsidRPr="00B20CF5" w:rsidRDefault="00D47546" w:rsidP="00D47546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46" w:rsidRPr="00B20CF5" w:rsidRDefault="00D47546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546" w:rsidRPr="00B20CF5" w:rsidRDefault="00D4754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7546" w:rsidRDefault="00D47546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DOMA ZDRAVLJA 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 betonskih ploča. Neoštećene ploče odvojiti na stranu i očistiti radi ponovne ugradnje, a oštećene utovariti i odvesti na deponiju do 5km po izboru investitora. Obračun po m² podignutih ploča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121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Ugradnja postojećih betonskih ploča dim. 40X40x8cm. Ploče se polažu preko postojećeg sloja kamenog agregata sa dosipanjem novog. Otvore u pločama popuniti kamenim agregatom 4-8mm.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ploča, model “K80 Raster” dim. 60X40x8cm. Ploče se polažu preko postojećeg sloja kamenog agregata sa dosipanjem novog. Otvore u pločama popuniti kamenim agregatom 4-8mm.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93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kamenog agregata krupnoće 4-8mm za dosipanje ispod betonskih ploča i popunjavanje otvora u pločama.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924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7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i ugradnja tampon sloja kamenog agregata d=10cm. Obračun po m² ugrađenog tampon sloja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50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Iskop postojećeg tampon sloja kamenog agaregata d=10cm, nabijanje posteljice i sečenje korenja. Obračun po m²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40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Demontaža i ponovna montaža betonskog ivičnjaka 24x20x100cm u sloju betona MB30 i fugovanjem spojnica cementnim malterom. Obračun po m'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4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 slivnika na visinu ploča. Obračun po komadu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</w:t>
            </w:r>
          </w:p>
        </w:tc>
      </w:tr>
      <w:tr w:rsidR="00345D8C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Pr="00345D8C" w:rsidRDefault="00345D8C" w:rsidP="00345D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8C" w:rsidRPr="00B20CF5" w:rsidRDefault="00345D8C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TROTOARI ISPRED SUDA  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postojećih, oštećenih betonskih ploča dimenzije 40x40x4cm sa utovarom i odvozom na deponiju do 5km koju odredi investitor. Obračun po m² podignutih ploča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190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Podizanje postojećih betonskih ploča dimenzije 40x40x4cm sa čišćenjem istih. Obračun po m² podignutih ploča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250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Ugradnja postojećih betonskih ploča d=4cm. Ploče se polažu na sloju kamenog agregata d=3-5cm u slogu kao ostale ploče u nastavku. Završnu površinu zabrisati sitnim peskom.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190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Skidanje postojećeg peska ispod betonskih ploča i odvoz na deponiju do 5km koju odredi investitor.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529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22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Isporuka i ugradnja vibropresovanih betonskih ploča dimenzije 40x40x6cm-colormix. Ploče se polažu na sloju kamenog agregata d=3-5cm u slogu datog projektom. Završnu površinu zabrisati sitnim peskom.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250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>Nabavka kamenog agregata krupnoće 4-8mm za ispod betonskih ploča. Obračun po m³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529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18</w:t>
            </w: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0CF5">
              <w:rPr>
                <w:rFonts w:ascii="Times New Roman" w:hAnsi="Times New Roman" w:cs="Times New Roman"/>
                <w:sz w:val="22"/>
                <w:szCs w:val="22"/>
              </w:rPr>
              <w:t xml:space="preserve">Utovar i odvoz do 5km i slaganje neoštećenih ploča na mestu istovara. Obračun po m²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60</w:t>
            </w:r>
          </w:p>
        </w:tc>
      </w:tr>
      <w:tr w:rsidR="00345D8C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Pr="00345D8C" w:rsidRDefault="00345D8C" w:rsidP="00345D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8C" w:rsidRPr="00B20CF5" w:rsidRDefault="00345D8C" w:rsidP="00680F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Pr="00B20CF5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D8C" w:rsidRDefault="00345D8C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32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D12" w:rsidRPr="00B20CF5" w:rsidRDefault="00E83D12" w:rsidP="00680F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REKAPITULACIJA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MAKEDONSKA ULICA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U BORSKOJ ULICI 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PARKING DOMA ZDRAVLJA  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E83D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TROTOARI ISPRED SUDA   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E83D12" w:rsidRPr="00B20CF5" w:rsidTr="00680F6C">
        <w:trPr>
          <w:trHeight w:val="522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B2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UKUPNO: 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3D12" w:rsidRPr="00B20CF5" w:rsidRDefault="00E83D12" w:rsidP="0068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4509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AD3C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 w:rsidR="00BF73C7">
        <w:rPr>
          <w:rFonts w:ascii="Times New Roman" w:hAnsi="Times New Roman" w:cs="Times New Roman"/>
          <w:sz w:val="24"/>
          <w:szCs w:val="24"/>
        </w:rPr>
        <w:t>od dana</w:t>
      </w:r>
      <w:r w:rsidR="00BF73C7" w:rsidRPr="009178D6">
        <w:rPr>
          <w:rFonts w:ascii="Times New Roman" w:hAnsi="Times New Roman" w:cs="Times New Roman"/>
          <w:sz w:val="24"/>
          <w:szCs w:val="24"/>
        </w:rPr>
        <w:t xml:space="preserve"> dostavljanja potpisane i ovjerene situacije od strane nadzornog organa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za izvođenje radova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4B494F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60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uvođenja 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>izvođača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 u posao.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664201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664201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36436" w:rsidRDefault="00536436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Default="00AD3CA2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F12F08" w:rsidRPr="004419E3" w:rsidRDefault="00F12F08" w:rsidP="00F12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dokaže da on odnosno njegov zakonski zastupnik nije pravosnažno osuđivan za neko od krivičnih djela organizovanog kriminala sa elementima korupcije, pranja novca i prevare;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Uslovi iz stava 1 ove tačke ne odnose se na fizička lica: umjetnike, naučnike i kulturne stvaraoce.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Ukoliko ponuđač dostavi izjavu o ispunjenosti traženih uslova, dužan je da prije početka radova dostavi original ili ovjerenu kopiju dokaza o ispunjavanju uslova za učešće u postupku javne nabavke.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A2" w:rsidRDefault="00AD3CA2" w:rsidP="00A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Fakultativni uslovi</w:t>
      </w:r>
    </w:p>
    <w:p w:rsidR="00AD3CA2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- tehničke i kadrovske osposobljenosti u postupku javne nabavke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radova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dokazuje se dostavljanjem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jednog 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dokaza, i to:</w:t>
      </w:r>
    </w:p>
    <w:p w:rsidR="00AD3CA2" w:rsidRPr="00852493" w:rsidRDefault="00AD3CA2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A2" w:rsidRDefault="00AD3CA2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izjave o namjeri i predmetu podugovaranja, odnosno angažovanja podizvođača sa spiskom podugovarača, odnosno podizvođača sa bližim podacima (naziv, adresa, procentualno učešće i sl.).</w:t>
      </w:r>
    </w:p>
    <w:p w:rsidR="00345D8C" w:rsidRDefault="00345D8C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D8C" w:rsidRDefault="00345D8C" w:rsidP="00AD3C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A2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male vrijednosti, a najkasnije do zaključenja 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Pr="009509B7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ponuđačem će se zaključiti ugovor.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 je dužan da u ponudi dostavi Nacrt ugovora o javnoj nabavci potpisan od strane ovlašćenog lica na mjestu predviđenom za davanje saglasnosti na isti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Naručilac zadržava pravo da poništi postupak nabavke male vrijednosti, prije ili nakon roka za dostavljanje ponuda bez posebnog pisanog obrazloženja.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Pr="00AD3CA2" w:rsidRDefault="00AD3CA2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CA2">
        <w:rPr>
          <w:rFonts w:ascii="Times New Roman" w:hAnsi="Times New Roman" w:cs="Times New Roman"/>
          <w:b/>
          <w:sz w:val="32"/>
          <w:szCs w:val="32"/>
        </w:rPr>
        <w:t>Popločavanje trotoara i parkinga betonskim pločama na području grada Bara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4A7081" w:rsidRPr="00852493" w:rsidRDefault="004A7081" w:rsidP="004A7081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4A7081" w:rsidRPr="00FA2239" w:rsidTr="00AD3CA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4A7081" w:rsidRPr="00852493" w:rsidRDefault="004A7081" w:rsidP="00AD3CA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A7081" w:rsidRPr="00FA2239" w:rsidRDefault="004A7081" w:rsidP="00AD3C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4A7081" w:rsidRPr="00FA2239" w:rsidRDefault="004A7081" w:rsidP="00AD3CA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4A7081" w:rsidRPr="00852493" w:rsidRDefault="004A7081" w:rsidP="004A7081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4A7081" w:rsidRPr="00852493" w:rsidRDefault="004A7081" w:rsidP="00AD3CA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A7081" w:rsidRPr="00FA2239" w:rsidRDefault="004A7081" w:rsidP="00AD3C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4A7081" w:rsidRPr="00FA2239" w:rsidRDefault="004A7081" w:rsidP="00AD3CA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4A7081" w:rsidRPr="00FA2239" w:rsidTr="00AD3CA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  <w:sectPr w:rsidR="004A7081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A7081" w:rsidRPr="00852493" w:rsidRDefault="004A7081" w:rsidP="004A7081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A7081" w:rsidRPr="00FA2239" w:rsidTr="00AD3CA2">
        <w:tc>
          <w:tcPr>
            <w:tcW w:w="9287" w:type="dxa"/>
          </w:tcPr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4A7081" w:rsidRPr="00FA2239" w:rsidRDefault="004A7081" w:rsidP="00AD3CA2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4A7081" w:rsidRPr="00FA2239" w:rsidRDefault="004A7081" w:rsidP="00AD3CA2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A7081" w:rsidRPr="00FA2239" w:rsidRDefault="004A7081" w:rsidP="00AD3CA2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A7081" w:rsidRPr="00FA2239" w:rsidRDefault="004A7081" w:rsidP="00AD3CA2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A7081" w:rsidRPr="00FA2239" w:rsidRDefault="004A7081" w:rsidP="00AD3CA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A7081" w:rsidRPr="00FA2239" w:rsidRDefault="004A7081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081" w:rsidRPr="00FA2239" w:rsidRDefault="004A7081" w:rsidP="00AD3CA2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852493" w:rsidRDefault="004A7081" w:rsidP="00AD3CA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</w:rPr>
      </w:pPr>
      <w:r w:rsidRPr="00852493">
        <w:lastRenderedPageBreak/>
        <w:t>NACRT UGOVORA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A7081" w:rsidRPr="002E7407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 w:rsidR="00AD3CA2"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D3CA2" w:rsidRPr="00D70814" w:rsidRDefault="00AD3CA2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4A7081" w:rsidRPr="002E7407" w:rsidRDefault="004A7081" w:rsidP="004A7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370F39" w:rsidRDefault="004A7081" w:rsidP="004A7081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4A7081" w:rsidRDefault="004A7081" w:rsidP="004A7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Pr="00A25D39">
        <w:rPr>
          <w:rFonts w:ascii="Times New Roman" w:hAnsi="Times New Roman" w:cs="Times New Roman"/>
          <w:sz w:val="24"/>
          <w:szCs w:val="24"/>
        </w:rPr>
        <w:t xml:space="preserve"> radov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D3CA2">
        <w:rPr>
          <w:rFonts w:ascii="Times New Roman" w:hAnsi="Times New Roman" w:cs="Times New Roman"/>
          <w:sz w:val="24"/>
          <w:szCs w:val="24"/>
        </w:rPr>
        <w:t>p</w:t>
      </w:r>
      <w:r w:rsidR="00AD3CA2" w:rsidRPr="00D21D76">
        <w:rPr>
          <w:rFonts w:ascii="Times New Roman" w:hAnsi="Times New Roman" w:cs="Times New Roman"/>
          <w:sz w:val="24"/>
          <w:szCs w:val="24"/>
        </w:rPr>
        <w:t>opločavanj</w:t>
      </w:r>
      <w:r w:rsidR="00AD3CA2">
        <w:rPr>
          <w:rFonts w:ascii="Times New Roman" w:hAnsi="Times New Roman" w:cs="Times New Roman"/>
          <w:sz w:val="24"/>
          <w:szCs w:val="24"/>
        </w:rPr>
        <w:t>u</w:t>
      </w:r>
      <w:r w:rsidR="00AD3CA2" w:rsidRPr="00D21D76">
        <w:rPr>
          <w:rFonts w:ascii="Times New Roman" w:hAnsi="Times New Roman" w:cs="Times New Roman"/>
          <w:sz w:val="24"/>
          <w:szCs w:val="24"/>
        </w:rPr>
        <w:t xml:space="preserve"> trotoara i parkinga betonskim pločama na području grada Bara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AD3CA2">
        <w:rPr>
          <w:rFonts w:ascii="Times New Roman" w:hAnsi="Times New Roman" w:cs="Times New Roman"/>
          <w:sz w:val="24"/>
          <w:szCs w:val="24"/>
        </w:rPr>
        <w:t>Zahtjevom za dostavljanje ponuda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AD3C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D3C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.2018.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godine,</w:t>
      </w:r>
      <w:r w:rsidRPr="00370F39">
        <w:rPr>
          <w:rFonts w:ascii="Times New Roman" w:hAnsi="Times New Roman" w:cs="Times New Roman"/>
          <w:sz w:val="24"/>
          <w:szCs w:val="24"/>
          <w:lang w:val="sl-SI"/>
        </w:rPr>
        <w:t xml:space="preserve"> i otkloni eventualne nedostatke u skladu sa Ugovorom.</w:t>
      </w:r>
    </w:p>
    <w:p w:rsidR="004A7081" w:rsidRPr="00370F39" w:rsidRDefault="004A7081" w:rsidP="004A7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4A7081" w:rsidRPr="00370F39" w:rsidRDefault="004A7081" w:rsidP="004A7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4A7081" w:rsidRPr="00246F41" w:rsidRDefault="004A7081" w:rsidP="004A7081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453DA0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4A7081" w:rsidRPr="009178D6" w:rsidRDefault="004A7081" w:rsidP="004A7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 w:rsidR="00AD3C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dostavljanja potpisane i ovjerene situacije od strane nadzornog organa . </w:t>
      </w:r>
    </w:p>
    <w:p w:rsidR="004A7081" w:rsidRPr="009178D6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Količinu izvršenih radova nakon završetka pojedine pozicije, utvrđuje Izvođač u prisustvu Nadzornog organa i podatke unosi u građevinsku knjigu. </w:t>
      </w:r>
    </w:p>
    <w:p w:rsidR="004A7081" w:rsidRPr="009178D6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Izvođač će 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situaciju dostavljati Nadzornom organu </w:t>
      </w:r>
      <w:r>
        <w:rPr>
          <w:rFonts w:ascii="Times New Roman" w:hAnsi="Times New Roman" w:cs="Times New Roman"/>
          <w:sz w:val="24"/>
          <w:szCs w:val="24"/>
          <w:lang w:val="sl-SI"/>
        </w:rPr>
        <w:t>sa građevinskom knjigom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, a </w:t>
      </w:r>
      <w:r w:rsidRPr="009178D6">
        <w:rPr>
          <w:rFonts w:ascii="Times New Roman" w:hAnsi="Times New Roman" w:cs="Times New Roman"/>
          <w:sz w:val="24"/>
          <w:szCs w:val="24"/>
        </w:rPr>
        <w:t xml:space="preserve">nadzorni organ će primljenu situaciju, ako nema primjedbi, odmah ovjeriti. </w:t>
      </w:r>
    </w:p>
    <w:p w:rsidR="004A7081" w:rsidRPr="009178D6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</w:rPr>
        <w:lastRenderedPageBreak/>
        <w:t>Ukoliko Nadzorni organ na podnesenu situaciju ima primjedbi, on će tražiti od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>ača da te primjedbe otkloni. Ukoliko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 xml:space="preserve">ač u roku od 2 dana ne otkloni primjedbe, Nadzorni organ će staviti svoje primjedbe i nesporni dio ovjeriti i dostaviti situaciju na verifikaciju Naručiocu. </w:t>
      </w:r>
    </w:p>
    <w:p w:rsidR="004A7081" w:rsidRPr="009178D6" w:rsidRDefault="004A7081" w:rsidP="004A7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0F0AB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uvođenja izvođača u posao.</w:t>
      </w:r>
    </w:p>
    <w:p w:rsidR="004A7081" w:rsidRPr="00D8024A" w:rsidRDefault="004A7081" w:rsidP="004A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81" w:rsidRPr="00906815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 6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Stručni nadzor </w:t>
      </w:r>
      <w:r>
        <w:rPr>
          <w:rFonts w:ascii="Times New Roman" w:hAnsi="Times New Roman"/>
          <w:sz w:val="24"/>
          <w:szCs w:val="24"/>
          <w:lang w:val="sl-SI"/>
        </w:rPr>
        <w:t>nad izvođenjem radova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Naručilac će vršiti preko svojih ovlašćenih stručnih lica, o čemu će pismeno obavjestiti Izvođača. </w:t>
      </w:r>
    </w:p>
    <w:p w:rsidR="004A7081" w:rsidRPr="00D47822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Naruči</w:t>
      </w:r>
      <w:r>
        <w:rPr>
          <w:rFonts w:ascii="Times New Roman" w:hAnsi="Times New Roman"/>
          <w:sz w:val="24"/>
          <w:szCs w:val="24"/>
          <w:lang w:val="sl-SI"/>
        </w:rPr>
        <w:t xml:space="preserve">lac će danom potpisivanja ugovora </w:t>
      </w:r>
      <w:r w:rsidRPr="00397896">
        <w:rPr>
          <w:rFonts w:ascii="Times New Roman" w:hAnsi="Times New Roman"/>
          <w:sz w:val="24"/>
          <w:szCs w:val="24"/>
          <w:lang w:val="sl-SI"/>
        </w:rPr>
        <w:t>Izvođaču pismeno saopštiti lica koja će vršiti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stručni i nadzor nad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enjem radova (u daljem tekstu: Nadzorni organ).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u toku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enja radova dođe do promjene nadzornog organa, Naručilac će o tome obavijestiti 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je ovlašćen i vrši naročito: kontrolu izvođenja radova prema predmjeru radova; provjeru kvaliteta izvođenja radova i primjene propisa, standarda; tehničkih normativa i normi kvaliteta; kontrolu kvaliteta materijala koji se ugrađuje; kontrolu primjene mjera za zaštitu životne sredi</w:t>
      </w:r>
      <w:r>
        <w:rPr>
          <w:rFonts w:ascii="Times New Roman" w:hAnsi="Times New Roman"/>
          <w:sz w:val="24"/>
          <w:szCs w:val="24"/>
          <w:lang w:val="sl-SI"/>
        </w:rPr>
        <w:t>ne;poštovanje ugovorenih rokova</w:t>
      </w:r>
      <w:r w:rsidRPr="00397896">
        <w:rPr>
          <w:rFonts w:ascii="Times New Roman" w:hAnsi="Times New Roman"/>
          <w:sz w:val="24"/>
          <w:szCs w:val="24"/>
          <w:lang w:val="sl-SI"/>
        </w:rPr>
        <w:t>.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Nadzorni organ nema pravo da oslobodi Izvođača od bilo koje njegove dužnosti ili obaveze iz ugovora, ukoliko za to ne dobije pismeno ovlašćenje od Naručioca.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Postojanje nadzornog organa i njegovi propusti u vršenju stručnog nadzora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od njegove obaveze i odgovornosti za kvalitetno i pravilno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enje radova.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8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ima pravo da naredi Izvođaču da otkloni nekvalitetno izvedene radove i zabrani ugrađi</w:t>
      </w:r>
      <w:r>
        <w:rPr>
          <w:rFonts w:ascii="Times New Roman" w:hAnsi="Times New Roman"/>
          <w:sz w:val="24"/>
          <w:szCs w:val="24"/>
          <w:lang w:val="sl-SI"/>
        </w:rPr>
        <w:t>vanje nekvalitetnog materijala.</w:t>
      </w:r>
    </w:p>
    <w:p w:rsidR="004A7081" w:rsidRPr="00FF5015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svaku ugradnju moraju biti priloženi certifikati o kvalitetu ugrađenog materijala.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Izvođač, i pored upozorenja i zahtjeva Nadzornog organa, ne otkloni uočene nedostatke i nastavi sa nekvalitetnim izvođenjem radova, Nadzorni organ će radove obustaviti i o tome obavjestiti Naručioca i nadležnu inspekciju i te okolnosti unijeti u građevinski dnevnik.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Sa izvođenjem radova može se ponovo nastaviti kada Izvođač preduzme i sprovede odgovarajuće radnje i mjere kojima se prema nalazu nadležne inspekcije i nadzornog organa obezbeđuje kvalitetno izvođenje radova.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se između Nadzornog organa i Izvođača pojave nesaglasnosti u pogledu kvaliteta materijala koji se ugrađuje, materijal se daje na ispitivanje.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Troškove ovog ispitivanja plaća Izvođač koji ima pravo da traži njihovu nadoknadu od Naručioca, ako ovaj nije bio u pravu. </w:t>
      </w:r>
    </w:p>
    <w:p w:rsidR="004A7081" w:rsidRPr="000E289C" w:rsidRDefault="004A7081" w:rsidP="004A7081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Materijal za koji se utvrdi da ne odgovara tehničkim propisima ili standardima, Izvođač mora o svom trošku da ukloni sa gradilišta u roku koji mu odredi Nadzorni organ. </w:t>
      </w:r>
    </w:p>
    <w:p w:rsidR="004A7081" w:rsidRDefault="004A7081" w:rsidP="004A7081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66601A" w:rsidRDefault="0066601A" w:rsidP="004A7081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66601A" w:rsidRPr="00397896" w:rsidRDefault="0066601A" w:rsidP="004A7081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9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da za uredno i blagovremeno izvršenje radova koji je predmet ovog ugovora, obezbijedi i angažuje dovoljan broj radnika prema strukturi koja obezbeđuje uspješno izvođenje radova i da na gradilištu dopremi potrebnu i kvalitetnu mehanizaciju i opremu za završetak radova. 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obavjesti Naručioca o imenovanju ovlašćenog lica koje će rukovoditi građenjem objekta.  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u toku izvođenja radova dođe do promjene ovlašćenog lica određenog za rukovođenje građenjem objekta, Izvođač je dužan da o tome odmah obavijesti Naručioca.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obavezan Naručiocu nadoknaditi sve štete koje treća lica eventualno ostvare od Naručioca po osnovu iz stava 1.ovog člana. </w:t>
      </w:r>
    </w:p>
    <w:p w:rsidR="0066601A" w:rsidRPr="00397896" w:rsidRDefault="0066601A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2,0 %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(dva promila) od ugovorene cijene radova za svaki dan prekoračenja ugovorenog roka završetka objekta. 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Pr="00397896">
        <w:rPr>
          <w:rFonts w:ascii="Times New Roman" w:hAnsi="Times New Roman"/>
          <w:sz w:val="24"/>
          <w:szCs w:val="24"/>
        </w:rPr>
        <w:t xml:space="preserve">% od ugovorene cijene radova.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dužan platiti ugovorenu kaznu (penale) bez opomene Naručioca, a Naručioc ovlašćen da ih naplati – odbije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obaveze da u cjelosti završi </w:t>
      </w:r>
      <w:r>
        <w:rPr>
          <w:rFonts w:ascii="Times New Roman" w:hAnsi="Times New Roman"/>
          <w:sz w:val="24"/>
          <w:szCs w:val="24"/>
        </w:rPr>
        <w:t xml:space="preserve">ugovorene radove.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dužan da plati  Naručiocu pored ugovorene kazne (penale) i iznos naknade štete koji prelazi visinu ugovorene kazne.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prilikom potpisivanja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4A7081" w:rsidRPr="002E7407" w:rsidRDefault="004A7081" w:rsidP="004A7081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>isteka roka za završetak radova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A7081" w:rsidRPr="003A19CC" w:rsidRDefault="004A7081" w:rsidP="004A7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ne postupi po zahtjevu 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01A" w:rsidRPr="00397896" w:rsidRDefault="0066601A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 13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 završenim radovima povuče sa gradilišta svoje radnike, ukloni preostali materijal, opremu, sredstva za rad i privremene objekte, koje je koristio u toku rada, očisti gradilište od otpadaka koje je napravio </w:t>
      </w:r>
      <w:r w:rsidRPr="00397896">
        <w:rPr>
          <w:rFonts w:ascii="Times New Roman" w:hAnsi="Times New Roman"/>
          <w:sz w:val="24"/>
          <w:szCs w:val="24"/>
          <w:lang w:val="sr-Latn-CS"/>
        </w:rPr>
        <w:t>,</w:t>
      </w:r>
      <w:r w:rsidRPr="00397896">
        <w:rPr>
          <w:rFonts w:ascii="Times New Roman" w:hAnsi="Times New Roman"/>
          <w:sz w:val="24"/>
          <w:szCs w:val="24"/>
        </w:rPr>
        <w:t>uredi i očisti okolinu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evine i samu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evinu na kome je izvodio radove.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14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postupi po primjedbama komisije za pregled i primopredaju izvedenih radova i to u roku koji mu odredi komisija.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 ne postupi po primjedbama iz stava 1. ovog člana  u određenom roku, Naručilac će sam ili preko drugog izvođača otkloniti utvrđene nedostatke o trošku Izvođača.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15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Po obavljenom pregledu, primopredaji izvedenih radova i otklanjanju utvr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enih nedostataka, ugovorene strane će preko svojih ovlašćenih predstavnika u roku od 10 dana izvršiti ko</w:t>
      </w:r>
      <w:r>
        <w:rPr>
          <w:rFonts w:ascii="Times New Roman" w:hAnsi="Times New Roman"/>
          <w:sz w:val="24"/>
          <w:szCs w:val="24"/>
        </w:rPr>
        <w:t>načni obračun izvedenih radova.</w:t>
      </w:r>
    </w:p>
    <w:p w:rsidR="004A7081" w:rsidRPr="009E418A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4A7081" w:rsidRPr="002E7407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A7081" w:rsidRPr="002A1BCE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4A7081" w:rsidRPr="001825DF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4C3875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21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7081" w:rsidRDefault="004A7081" w:rsidP="004A7081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Pr="00844A88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2214F3" w:rsidRDefault="004A7081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 w:rsid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 w:rsidR="003F5869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6601A" w:rsidRDefault="0066601A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6601A" w:rsidRDefault="0066601A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6601A" w:rsidRPr="0066601A" w:rsidRDefault="0066601A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16DD" w:rsidRDefault="006716DD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14F3" w:rsidRPr="00C83766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7126" w:rsidRPr="00FA079A" w:rsidRDefault="00B47126" w:rsidP="00B47126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SLUŽBENIK  ZA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SEKRETAR</w:t>
      </w:r>
    </w:p>
    <w:p w:rsidR="00B47126" w:rsidRPr="00FA079A" w:rsidRDefault="00B47126" w:rsidP="00B47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126" w:rsidRPr="00FA079A" w:rsidRDefault="00B47126" w:rsidP="00B471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 xml:space="preserve">Emin Brkanović                                                                   </w:t>
      </w:r>
      <w:r w:rsidR="00D0605A">
        <w:rPr>
          <w:rFonts w:ascii="Times New Roman" w:hAnsi="Times New Roman" w:cs="Times New Roman"/>
          <w:sz w:val="24"/>
          <w:szCs w:val="24"/>
        </w:rPr>
        <w:t xml:space="preserve">     </w:t>
      </w:r>
      <w:r w:rsidRPr="00FA079A">
        <w:rPr>
          <w:rFonts w:ascii="Times New Roman" w:hAnsi="Times New Roman" w:cs="Times New Roman"/>
          <w:sz w:val="24"/>
          <w:szCs w:val="24"/>
        </w:rPr>
        <w:t xml:space="preserve"> Vido Dabanović</w:t>
      </w:r>
    </w:p>
    <w:p w:rsidR="00B47126" w:rsidRDefault="00B47126" w:rsidP="00B4712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7126" w:rsidRDefault="00B47126" w:rsidP="00B4712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2CF0" w:rsidRDefault="002D2CF0" w:rsidP="00B471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sectPr w:rsidR="002D2CF0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C2" w:rsidRDefault="008445C2" w:rsidP="004A7081">
      <w:pPr>
        <w:spacing w:after="0" w:line="240" w:lineRule="auto"/>
      </w:pPr>
      <w:r>
        <w:separator/>
      </w:r>
    </w:p>
  </w:endnote>
  <w:endnote w:type="continuationSeparator" w:id="1">
    <w:p w:rsidR="008445C2" w:rsidRDefault="008445C2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AD3CA2" w:rsidRDefault="00AD3CA2" w:rsidP="00AD3CA2">
        <w:pPr>
          <w:jc w:val="right"/>
        </w:pPr>
        <w:r>
          <w:t xml:space="preserve">Strana  </w:t>
        </w:r>
        <w:fldSimple w:instr=" PAGE ">
          <w:r w:rsidR="00AF6931">
            <w:rPr>
              <w:noProof/>
            </w:rPr>
            <w:t>1</w:t>
          </w:r>
        </w:fldSimple>
        <w:r>
          <w:t xml:space="preserve"> od </w:t>
        </w:r>
        <w:fldSimple w:instr=" NUMPAGES  ">
          <w:r w:rsidR="00AF6931">
            <w:rPr>
              <w:noProof/>
            </w:rPr>
            <w:t>24</w:t>
          </w:r>
        </w:fldSimple>
      </w:p>
    </w:sdtContent>
  </w:sdt>
  <w:p w:rsidR="00AD3CA2" w:rsidRPr="000074F9" w:rsidRDefault="00AD3CA2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C2" w:rsidRDefault="008445C2" w:rsidP="004A7081">
      <w:pPr>
        <w:spacing w:after="0" w:line="240" w:lineRule="auto"/>
      </w:pPr>
      <w:r>
        <w:separator/>
      </w:r>
    </w:p>
  </w:footnote>
  <w:footnote w:type="continuationSeparator" w:id="1">
    <w:p w:rsidR="008445C2" w:rsidRDefault="008445C2" w:rsidP="004A7081">
      <w:pPr>
        <w:spacing w:after="0" w:line="240" w:lineRule="auto"/>
      </w:pPr>
      <w:r>
        <w:continuationSeparator/>
      </w:r>
    </w:p>
  </w:footnote>
  <w:footnote w:id="2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3">
    <w:p w:rsidR="00AD3CA2" w:rsidRPr="007E1F59" w:rsidRDefault="00AD3CA2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AD3CA2" w:rsidRDefault="00AD3CA2" w:rsidP="004A7081">
      <w:pPr>
        <w:pStyle w:val="FootnoteText"/>
        <w:jc w:val="both"/>
        <w:rPr>
          <w:rFonts w:cs="Times New Roman"/>
        </w:rPr>
      </w:pPr>
    </w:p>
  </w:footnote>
  <w:footnote w:id="4">
    <w:p w:rsidR="00AD3CA2" w:rsidRDefault="00AD3CA2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AD3CA2" w:rsidRDefault="00AD3CA2" w:rsidP="004A7081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7">
    <w:p w:rsidR="00AD3CA2" w:rsidRPr="00EF3747" w:rsidRDefault="00AD3CA2" w:rsidP="004A7081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8">
    <w:p w:rsidR="00AD3CA2" w:rsidRPr="007E1F59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  <w:footnote w:id="9">
    <w:p w:rsidR="00AD3CA2" w:rsidRPr="007F6785" w:rsidRDefault="00AD3CA2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AD3CA2" w:rsidRDefault="00AD3CA2" w:rsidP="004A7081">
      <w:pPr>
        <w:pStyle w:val="FootnoteText"/>
        <w:jc w:val="both"/>
        <w:rPr>
          <w:rFonts w:cs="Times New Roman"/>
        </w:rPr>
      </w:pPr>
    </w:p>
  </w:footnote>
  <w:footnote w:id="10">
    <w:p w:rsidR="00AD3CA2" w:rsidRDefault="00AD3CA2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AD3CA2" w:rsidRPr="00FA6401" w:rsidRDefault="00AD3CA2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AD3CA2" w:rsidRDefault="00AD3CA2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AD3CA2" w:rsidRDefault="00AD3CA2" w:rsidP="004A7081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  <w:jc w:val="right"/>
      <w:rPr>
        <w:rFonts w:cs="Times New Roman"/>
      </w:rPr>
    </w:pPr>
  </w:p>
  <w:p w:rsidR="00AD3CA2" w:rsidRDefault="00AD3CA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A2" w:rsidRDefault="00AD3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965AF"/>
    <w:rsid w:val="000B698C"/>
    <w:rsid w:val="000F0AB4"/>
    <w:rsid w:val="001249F7"/>
    <w:rsid w:val="00153C1A"/>
    <w:rsid w:val="00157852"/>
    <w:rsid w:val="001B61D4"/>
    <w:rsid w:val="001D58C7"/>
    <w:rsid w:val="002214F3"/>
    <w:rsid w:val="002C2713"/>
    <w:rsid w:val="002D2CF0"/>
    <w:rsid w:val="002F4D82"/>
    <w:rsid w:val="0031721B"/>
    <w:rsid w:val="0034509A"/>
    <w:rsid w:val="00345D8C"/>
    <w:rsid w:val="003479FC"/>
    <w:rsid w:val="003F5869"/>
    <w:rsid w:val="004A7081"/>
    <w:rsid w:val="004B494F"/>
    <w:rsid w:val="00536436"/>
    <w:rsid w:val="00567CD5"/>
    <w:rsid w:val="005739B0"/>
    <w:rsid w:val="0060574E"/>
    <w:rsid w:val="00643D4A"/>
    <w:rsid w:val="00645DF8"/>
    <w:rsid w:val="00664201"/>
    <w:rsid w:val="0066601A"/>
    <w:rsid w:val="006716DD"/>
    <w:rsid w:val="007B3F38"/>
    <w:rsid w:val="0083445F"/>
    <w:rsid w:val="008445C2"/>
    <w:rsid w:val="00844A88"/>
    <w:rsid w:val="00900A3B"/>
    <w:rsid w:val="00944AFF"/>
    <w:rsid w:val="00965AA6"/>
    <w:rsid w:val="00A02AB6"/>
    <w:rsid w:val="00A07F44"/>
    <w:rsid w:val="00A54621"/>
    <w:rsid w:val="00AD3CA2"/>
    <w:rsid w:val="00AE673E"/>
    <w:rsid w:val="00AF6931"/>
    <w:rsid w:val="00B2247E"/>
    <w:rsid w:val="00B36EA2"/>
    <w:rsid w:val="00B47126"/>
    <w:rsid w:val="00B520B8"/>
    <w:rsid w:val="00B96086"/>
    <w:rsid w:val="00BD074A"/>
    <w:rsid w:val="00BF73C7"/>
    <w:rsid w:val="00C36F15"/>
    <w:rsid w:val="00CA0FEE"/>
    <w:rsid w:val="00D0605A"/>
    <w:rsid w:val="00D21D76"/>
    <w:rsid w:val="00D47546"/>
    <w:rsid w:val="00D846E1"/>
    <w:rsid w:val="00E5469E"/>
    <w:rsid w:val="00E83D12"/>
    <w:rsid w:val="00E87C82"/>
    <w:rsid w:val="00F102E6"/>
    <w:rsid w:val="00F12F08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34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24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37</cp:revision>
  <cp:lastPrinted>2018-04-17T06:36:00Z</cp:lastPrinted>
  <dcterms:created xsi:type="dcterms:W3CDTF">2017-10-18T06:47:00Z</dcterms:created>
  <dcterms:modified xsi:type="dcterms:W3CDTF">2018-04-17T07:45:00Z</dcterms:modified>
</cp:coreProperties>
</file>